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693" w:rsidRPr="00932149" w:rsidRDefault="008C169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2149">
        <w:rPr>
          <w:rFonts w:ascii="Times New Roman" w:hAnsi="Times New Roman" w:cs="Times New Roman"/>
          <w:b/>
          <w:sz w:val="24"/>
          <w:szCs w:val="24"/>
        </w:rPr>
        <w:t>Лекция</w:t>
      </w:r>
      <w:proofErr w:type="spellEnd"/>
      <w:r w:rsidRPr="00932149">
        <w:rPr>
          <w:rFonts w:ascii="Times New Roman" w:hAnsi="Times New Roman" w:cs="Times New Roman"/>
          <w:b/>
          <w:sz w:val="24"/>
          <w:szCs w:val="24"/>
        </w:rPr>
        <w:t xml:space="preserve"> 9. </w:t>
      </w:r>
      <w:proofErr w:type="spellStart"/>
      <w:r w:rsidRPr="00932149">
        <w:rPr>
          <w:rFonts w:ascii="Times New Roman" w:eastAsia="TimesNewRomanPS-BoldMT" w:hAnsi="Times New Roman" w:cs="Times New Roman"/>
          <w:b/>
          <w:bCs/>
          <w:sz w:val="24"/>
          <w:szCs w:val="24"/>
        </w:rPr>
        <w:t>Альтернативные</w:t>
      </w:r>
      <w:proofErr w:type="spellEnd"/>
      <w:r w:rsidRPr="00932149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149">
        <w:rPr>
          <w:rFonts w:ascii="Times New Roman" w:eastAsia="TimesNewRomanPS-BoldMT" w:hAnsi="Times New Roman" w:cs="Times New Roman"/>
          <w:b/>
          <w:bCs/>
          <w:sz w:val="24"/>
          <w:szCs w:val="24"/>
        </w:rPr>
        <w:t>финансовые</w:t>
      </w:r>
      <w:proofErr w:type="spellEnd"/>
      <w:r w:rsidRPr="00932149">
        <w:rPr>
          <w:rFonts w:ascii="Times New Roman" w:eastAsia="TimesNewRomanPS-BoldMT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32149">
        <w:rPr>
          <w:rFonts w:ascii="Times New Roman" w:eastAsia="TimesNewRomanPS-BoldMT" w:hAnsi="Times New Roman" w:cs="Times New Roman"/>
          <w:b/>
          <w:bCs/>
          <w:sz w:val="24"/>
          <w:szCs w:val="24"/>
        </w:rPr>
        <w:t>институты</w:t>
      </w:r>
      <w:proofErr w:type="spellEnd"/>
    </w:p>
    <w:p w:rsidR="00932149" w:rsidRDefault="008C1693" w:rsidP="002D6997">
      <w:pPr>
        <w:spacing w:after="0" w:line="360" w:lineRule="atLeast"/>
        <w:ind w:firstLine="72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Развитие исламской банковской системы началось лишь во второй половине </w:t>
      </w:r>
      <w:r w:rsidRPr="008C1693">
        <w:rPr>
          <w:rFonts w:ascii="inherit" w:eastAsia="Times New Roman" w:hAnsi="inherit" w:cs="Times New Roman"/>
          <w:sz w:val="24"/>
          <w:szCs w:val="24"/>
        </w:rPr>
        <w:t>XX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в. в мусульманских странах, значительная часть жителей которых отказывалась пользоваться услугами традиционных банков. В этой ситуации исламские экономисты предложили создать новую систему банковского дела. Первая исламская финансовая организация появилась в 1960е гг. в Египте.</w:t>
      </w:r>
    </w:p>
    <w:p w:rsidR="009D560B" w:rsidRDefault="008C1693" w:rsidP="00932149">
      <w:pPr>
        <w:spacing w:after="0" w:line="360" w:lineRule="atLeast"/>
        <w:ind w:firstLine="72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В настоящее время исламский банкинг востребован в первую очередь в мусульманских странах: в Южной,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ЮгоВосточной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и Средней Азин и Африке, где сконцентрирована большая часть потенциальных клиентов данных банков. Однако сейчас помимо стран из указанных регионов такие организации можно встретить и в Европе, США и Австралии.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В Иране. Пакистане и Судане финансовая система целиком подчиняется исламским нормам, и все банки этих стран являются исламскими. В таких мусульманских странах, как Малайзия, Индонезия, Объединенные Арабские Эмираты, Саудовская Аравия, Бруней, присутствуют банки обоих типов, причем число обычных банков также достаточно велико.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 xml:space="preserve">Пока клиентами мусульманских финансовых организации главным образом являются мусульмане, численность которых составляет около 1.6 млрд человек по всему миру. Однако интерес к инвестициям с Ближнего Востока уже проявляют н представители других религий как в Старом, так и в Новом Свете. К услугам исламских банков прибегают такие транснациональные гиганты, как </w:t>
      </w:r>
      <w:r w:rsidRPr="008C1693">
        <w:rPr>
          <w:rFonts w:ascii="inherit" w:eastAsia="Times New Roman" w:hAnsi="inherit" w:cs="Times New Roman"/>
          <w:sz w:val="24"/>
          <w:szCs w:val="24"/>
        </w:rPr>
        <w:t>General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</w:t>
      </w:r>
      <w:r w:rsidRPr="008C1693">
        <w:rPr>
          <w:rFonts w:ascii="inherit" w:eastAsia="Times New Roman" w:hAnsi="inherit" w:cs="Times New Roman"/>
          <w:sz w:val="24"/>
          <w:szCs w:val="24"/>
        </w:rPr>
        <w:t>Motors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, </w:t>
      </w:r>
      <w:r w:rsidRPr="008C1693">
        <w:rPr>
          <w:rFonts w:ascii="inherit" w:eastAsia="Times New Roman" w:hAnsi="inherit" w:cs="Times New Roman"/>
          <w:sz w:val="24"/>
          <w:szCs w:val="24"/>
        </w:rPr>
        <w:t>IBM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. </w:t>
      </w:r>
      <w:r w:rsidRPr="008C1693">
        <w:rPr>
          <w:rFonts w:ascii="inherit" w:eastAsia="Times New Roman" w:hAnsi="inherit" w:cs="Times New Roman"/>
          <w:sz w:val="24"/>
          <w:szCs w:val="24"/>
        </w:rPr>
        <w:t>Alcatel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. </w:t>
      </w:r>
      <w:r w:rsidRPr="008C1693">
        <w:rPr>
          <w:rFonts w:ascii="inherit" w:eastAsia="Times New Roman" w:hAnsi="inherit" w:cs="Times New Roman"/>
          <w:sz w:val="24"/>
          <w:szCs w:val="24"/>
        </w:rPr>
        <w:t>Daewoo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и др.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 xml:space="preserve">В наши дни исламский финансовый сектор стремительно растет, его средние темпы роста оцениваются в 1015% в год. При этом рейтинговое агентство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</w:rPr>
        <w:t>Standari</w:t>
      </w:r>
      <w:proofErr w:type="spellEnd"/>
      <w:proofErr w:type="gram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&amp;.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</w:rPr>
        <w:t>Poors</w:t>
      </w:r>
      <w:proofErr w:type="spellEnd"/>
      <w:proofErr w:type="gram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относит исламские банки к разряду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высокоприбыльных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.</w:t>
      </w:r>
    </w:p>
    <w:p w:rsidR="009D560B" w:rsidRDefault="008C1693" w:rsidP="00932149">
      <w:pPr>
        <w:spacing w:after="0" w:line="360" w:lineRule="atLeast"/>
        <w:ind w:firstLine="72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В последнее десятилетие понятие «исламский банк» прочно закрепилось в лексиконе финансистов во многих развитых странах. Этот финансовый институт, функционирующий в мусульманских странах, постепенно начинает играть все большую роль в традиционных финансовых системах. Причем в таких странах, как Великобритания и США. где число граждан,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исповедуюших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ислам и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отказываюшихся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пользоваться услугами традиционных банков, выросло многократно, игнорировать исламские институты более не представляется возможным. В 2000х гг. попытка открытия исламского банка была предпринята и в России. Следовательно, исследование исламских финансовых институтов является достаточно актуальной темой в мировой экономической литературе, а также представляет практический интерес для экономических агентов в нашей стране и за рубежом.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Исламская система финансов основана на шариате — совокупности правил и законов, касающихся управления экономикой, социальных, политических и культурных аспектов исламского общества. Основными принципами исламской финансовой системы являются следующие: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- ислам поощряет получение прибыли, однако осуждает использование процента («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рпбы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») в 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lastRenderedPageBreak/>
        <w:t xml:space="preserve">целях получения прибыли, поскольку такая деятельность не приводит к созданию продукта и не может увеличить благосостояние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обшества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:</w:t>
      </w:r>
    </w:p>
    <w:p w:rsidR="009D560B" w:rsidRDefault="008C1693" w:rsidP="00932149">
      <w:pPr>
        <w:spacing w:after="0" w:line="360" w:lineRule="atLeast"/>
        <w:ind w:firstLine="72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- собственник финансового капитала и предприниматель разделяют риски для того, чтобы разделить выгоды, так как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изза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запрета взимания процента те, кто предлагает денежные средства в долг, становятся инвесторами, а не кредиторами;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- деньги рассматриваются как «потенциальный» капитал, т.е. они становятся реальным капиталом лишь тогда, когда вкладываются в производственную деятельность;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- запрет спекулятивного поведения, а также запрет деятельности, характеризующейся большой неопределенностью и несовместимостью с законами шариата (например, азартные игры);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- исполнение договорных обязательств как важнейшая обязанность сторон сделки с целью снижения рисков, а также запрет на намеренный риск, выходящий за рамки неизбежной случайности («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гарар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»). Функции, которые выполняют исламские банки, те же. что и у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западных (традиционных) банков: обеспечение работы национальной платежной системы и выполнение функции финансовых посредников. Однако если в части проведения платежей исламский банк по принципам своей работы не отличается от традиционного банка, то в том</w:t>
      </w:r>
      <w:proofErr w:type="gram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.</w:t>
      </w:r>
      <w:proofErr w:type="gram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что касается функции финансового посредника, имеется фундаментальное расхождение. Рассмотрим основные различия исламских и традиционных банков (табл. 1).</w:t>
      </w:r>
    </w:p>
    <w:p w:rsidR="009D560B" w:rsidRDefault="008C1693" w:rsidP="00932149">
      <w:pPr>
        <w:spacing w:after="0" w:line="360" w:lineRule="atLeast"/>
        <w:ind w:firstLine="72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Таблица 1</w:t>
      </w:r>
    </w:p>
    <w:p w:rsidR="009D560B" w:rsidRDefault="008C1693" w:rsidP="00932149">
      <w:pPr>
        <w:spacing w:after="0" w:line="360" w:lineRule="atLeast"/>
        <w:ind w:firstLine="72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Основные признаки, характеризующие различия исламских и традиционных банков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Признак Исламский банк Традиционный банк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 xml:space="preserve">Гарантированные выплаты по депозитам до востребования Есть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Есть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Гарантированные выплаты но инвестиционным депозитам Нет Есть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Ставка процента по депозитам Не определена, не гарантирована для инвестиционных депозитов Определена и гарантирована</w:t>
      </w:r>
    </w:p>
    <w:p w:rsidR="008C1693" w:rsidRPr="008C1693" w:rsidRDefault="008C1693" w:rsidP="00932149">
      <w:pPr>
        <w:spacing w:after="0" w:line="360" w:lineRule="atLeast"/>
        <w:ind w:firstLine="72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Механизм определения станки процента но депозитам Определяется прибыльностью банка, доходностью инвестиций Не зависит от прибыльности банка, зависит от состояния станок на финансовых рынках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Участие вкладчиков в прибылях и убытках банка Есть Практически нет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 xml:space="preserve">Использование исламских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финансоных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продуктом Есть Практически неприменимо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 xml:space="preserve">Право банка выносить решение о выдаче кредита в зависимости от обеспечения При участии вкладчиков в прибыли и убытках исламского банка он чаще всего не имеет и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рава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д искри ми н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иронать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клиентов в зависимости от имеющегося у них залога Есть всегда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 xml:space="preserve">Стоит также отметить, что исламские банки по сравнению с традиционными располагают меньшим количеством инструментов, которые могут быть использованы для хеджирования рисков. Запреты шариата против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рибы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(процентные платежи) и некоторые вопросы исламской юриспруденции,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касаюшиеся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интерпретации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гарара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(чрезмерный риск), приводят к тому, что многие инструменты хеджирования. основывающиеся на общепринятых механизмах, таких 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lastRenderedPageBreak/>
        <w:t>как опционы, фьючерсы и форварды, исламским банкам на современном уровне развития недоступны.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 xml:space="preserve">Исламская финансовая система представлена на рис. </w:t>
      </w:r>
      <w:r w:rsidRPr="008C1693">
        <w:rPr>
          <w:rFonts w:ascii="inherit" w:eastAsia="Times New Roman" w:hAnsi="inherit" w:cs="Times New Roman"/>
          <w:sz w:val="24"/>
          <w:szCs w:val="24"/>
        </w:rPr>
        <w:t>I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и 2.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Рис. 1. Структура исламской финансовой системы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Исламская финансовая инфраструктура включает в себя: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- платежную систему;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 xml:space="preserve">-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скрининговые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системы, торговые и клиринговые системы, инфраструктуру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интернетбизнеса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;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- организации, способствующие обеспечению экономической безопасности и поддержанию ликвидности;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- регулирующие органы: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- органы, осуществляющие контроль над соблюдением стандартов финансовой отчетности;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- рейтинговые агентства;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- организации, предоставляющие статистическую информацию: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- образовательные учреждения;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 xml:space="preserve">-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научноисследовательские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организации.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 xml:space="preserve">Рассмотрение основных принципов функционирования исламской финансовой системы позволяет утверждать, что особенности большинства исламских финансовых контрактов обусловлены не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эконо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Рис 2. Финансовые инструменты, используемые исламскими банками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мическими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причинами, а необходимостью их соответствия исламу. По всей видимости, практически любой исламский финансовый инструмент имеет традиционный аналог, реализация которого является более простой и связанной с меньшими транзакционными издержками (табл. 2).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 xml:space="preserve">В то же время есть основания считать, что в странах с большой долей мусульманского населения, не готового доверять свои сбережения традиционным банкам, а также со значительным количеством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предиринимателеймусульман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, не пользующихся услугами традиционных банков. развитие исламских финансовых институтов позволяет повысить эффективность финансового рынка и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ускоритьего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развитие.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Развитие исламских банков в США и Западной Европе позволяет предположить, что рано или поздно подобные финансовые института возникнут и в нашей стране. Как мы продемонстрировали выше, функционирование исламских финансовых институтов сопряжено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Характеристика финансовых инструментов, используемых исламскими финансовыми институтами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Название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инструмента Характеристика инструмента Аналогичный инструмент традиционной финансовой системы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 xml:space="preserve">Амана Контракт, в рамках которого одна сторона может получить право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изять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на сохранение 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lastRenderedPageBreak/>
        <w:t xml:space="preserve">имущество другой стороны и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подразумеїчзет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отсутствие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отнетственности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финансового посредника и случае потерь, если его обязательства были выполнены должным образом Текущие счета или счета до востребования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Мушарака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Предусматривает подписание банком и клиентом соглашения о партнерстве, в соответствии с которым стороны совместно финансируют проект.</w:t>
      </w:r>
    </w:p>
    <w:p w:rsidR="008C1693" w:rsidRPr="008C1693" w:rsidRDefault="008C1693" w:rsidP="008C1693">
      <w:pPr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val="ru-RU"/>
        </w:rPr>
      </w:pP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При этом банк выплачивает клиенту в заранее оговоренной пропорции часть прибыли, полученной в результате п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ред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п р и н и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мател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ьс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ко і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і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д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еятеї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і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ьн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ост и. или же прибыль делится между ним и банком пропорционально участию сторон в финансировании проекта. Потери также подлежат распределению пропорционально участию сторон в финансировании Проектное финансирование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Мусакат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Аналог контрактов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мушарака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дли сельскохозяйственных проектов, длится до того времени, когда урожаи созреет Контрактация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Мудараба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В этом виде контракта банк — собственник капитала доверяет свои средства для их эффективного использования предпринимателю, обладающему возможностями, опытом и репутацией (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мударибу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). Причем банк не имеет право требовать залог в обмен на предоставление денежных средств. Полученный доход от инвестируемых денег распределяется между банком и предпринимателем в соответствии с соглашением, заключенным в момент подписания контракта Доверительное финансирование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Название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инструмента Характеристика инструмента Аналогичный инструмент традиционной финансовой системы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 xml:space="preserve">Муза рал Аналог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мударабы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. используемый »аграрном секторе. В контракте прописывается, какая из сторон предоставляет семена и оборудование. Урожай делится между банком и предпринимателем и соответствии с их вкладами. В случае неурожая хозяин не получает выгоды от владения землей, а усилия рабочего оказываются потраченными впустую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Издольная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аренда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Джуала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Контракт, предметом которого является объект, в существовании которого нельзя быть уверенным однозначно и который не находится иол полным контролем сторон. Одна сторона платит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другої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і оговоренную заранее сумму денег за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предостакчение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услуг в соответствии с положениями контракта Используется при оказании консультационных и профессиональных услуг, размещении пенных бумаг, а также трастовых услугах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Кифала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Контракты, на основе которых могут создаваться фонды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нзапмного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кредитования: вы плата долга в случае, если заемщик не смог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пыполиить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сіюи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обязательства. гарантируется третьей стороной Кредит под поручительство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Викала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При заключении контракта агент получает фиксированную плату, а не участвует в прибылях и убытках 11редста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вительство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 xml:space="preserve">Прямое инвестирование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Ванк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может предоставить финансирование частным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компаниям.а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в 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lastRenderedPageBreak/>
        <w:t xml:space="preserve">обмен на это в зависимости от величины его вложений в проект он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можез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получить часть мест в совете директоров и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име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ть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право голоса при управлении работой компании Прямое инвестирование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Ваіі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салям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В рамках данного контракта покупатель платит продавцу заранее оговоренную стоимость товара, который продавец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обешает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поставить через определенный промежуток времени. Покупатель может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потребоїать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залог, закладную или поручительств третьей Покупка с авансовым платежом</w:t>
      </w:r>
      <w:r w:rsidR="009D560B" w:rsidRPr="009D560B">
        <w:rPr>
          <w:rFonts w:ascii="inherit" w:eastAsia="Times New Roman" w:hAnsi="inherit" w:cs="Times New Roman"/>
          <w:sz w:val="24"/>
          <w:szCs w:val="24"/>
          <w:lang w:val="ru-RU"/>
        </w:rPr>
        <w:t xml:space="preserve"> 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Название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инструмента Характеристика инструмента Аналогичный инструмент традиционной финансовой системы</w:t>
      </w:r>
      <w:r w:rsidR="009D560B" w:rsidRPr="009D560B">
        <w:rPr>
          <w:rFonts w:ascii="inherit" w:eastAsia="Times New Roman" w:hAnsi="inherit" w:cs="Times New Roman"/>
          <w:sz w:val="24"/>
          <w:szCs w:val="24"/>
          <w:lang w:val="ru-RU"/>
        </w:rPr>
        <w:t xml:space="preserve"> 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стороны от преданна и качестве страховки от возможных рисков, связанных с неполной поставкой товара или ее отсутствием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Иджара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Соглашение, по которому банк сначала покупает оборудование, недвижимость и т.п. по требованию клиента. а затем сдает его клиенту в аренду. Продолжительность аренды и размер арендной платы (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фиксиронанноп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или изменяющейся во времени) согласуются сторонами Лизинг</w:t>
      </w:r>
      <w:r w:rsidR="009D560B">
        <w:rPr>
          <w:rFonts w:ascii="inherit" w:eastAsia="Times New Roman" w:hAnsi="inherit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Иджара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на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иктмна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.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иджара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тумма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аль бай Клиент арендует имущество за определенную сумму на определенный период. Клиент осуществляет выплаты по частям, которые включают арендную плату, а также часть конечной стоимости продукта. По истечении срока аренды имущество переходит в собственность клиента. Стоимость имущества устанавливается при заключении контракта и не изменяется со временем Лизинге последующим выкупом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Мурабаха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Банк покупает товар (сырье, комплектующие детали и т.н.) от имени клиента. а затем перепродает ему товар, получая прибыль от реализации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тонара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. а также наценку за оказанные услуги. Пена товара должна быть определена заранее, а также должна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огоиариваться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величина наценки, которая является вознаграждением банка Торговое финансирование</w:t>
      </w:r>
      <w:r w:rsidR="00860449" w:rsidRPr="00932149">
        <w:rPr>
          <w:rFonts w:ascii="inherit" w:eastAsia="Times New Roman" w:hAnsi="inherit" w:cs="Times New Roman"/>
          <w:sz w:val="24"/>
          <w:szCs w:val="24"/>
          <w:lang w:val="ru-RU"/>
        </w:rPr>
        <w:t xml:space="preserve">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Мусавама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Аналогичен продукту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мурабаха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, отличается лишь тем. что в случае заключения данного контракта покупатель и продавец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договаринаются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о пене, не рассматривая издержки, которые несет продавец Торговое финансирование</w:t>
      </w:r>
      <w:r w:rsidR="00860449" w:rsidRPr="00932149">
        <w:rPr>
          <w:rFonts w:ascii="inherit" w:eastAsia="Times New Roman" w:hAnsi="inherit" w:cs="Times New Roman"/>
          <w:sz w:val="24"/>
          <w:szCs w:val="24"/>
          <w:lang w:val="ru-RU"/>
        </w:rPr>
        <w:t xml:space="preserve"> 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Ва11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муаджал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(или бай бита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ман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аджил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) Он аналогичен контракту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мурабаха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. но отличается от него тем. что в нем применяются выплаты, отложенные но времени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Горгомя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сделка с отсроченным платежом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Название</w:t>
      </w:r>
      <w:r w:rsidR="00860449" w:rsidRPr="00932149">
        <w:rPr>
          <w:rFonts w:ascii="inherit" w:eastAsia="Times New Roman" w:hAnsi="inherit" w:cs="Times New Roman"/>
          <w:sz w:val="24"/>
          <w:szCs w:val="24"/>
          <w:lang w:val="ru-RU"/>
        </w:rPr>
        <w:t xml:space="preserve"> 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инструмента Характеристика инструмента Аналогичный инструмент традиционной финансовой системы</w:t>
      </w:r>
      <w:r w:rsidR="00860449" w:rsidRPr="00932149">
        <w:rPr>
          <w:rFonts w:ascii="inherit" w:eastAsia="Times New Roman" w:hAnsi="inherit" w:cs="Times New Roman"/>
          <w:sz w:val="24"/>
          <w:szCs w:val="24"/>
          <w:lang w:val="ru-RU"/>
        </w:rPr>
        <w:t xml:space="preserve">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Таварук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Данный контракт также называют «обратная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мурабаха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». Например, если клиент банка хочет занять определенную сумму, банк может купить товар на эту сумму, а затем продать потребителю с наценкой за оказанные услуги, играющей роль процента по кредиту Кредит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 xml:space="preserve">Бай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иннах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В отличие от механизма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танарука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при заключении контракта задействовано только дне стороны: банк и его клиент. Когда клиент обращается в банк дня того, чтобы получить кредит, банк пролает в рассрочку часть своих активов клиенту по пене, которая заранее оговаривается в контракте и включает величину кредита вместе с наценкой за услуги банка. 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lastRenderedPageBreak/>
        <w:t>Затем клиент сразу же продает этот актив обратно банку по установленной пене и банк выплачивает всю сумму клиенту и снова становится собственником актива. Таким образом, клиент получает ликвидные средства для своих нужд Кредит</w:t>
      </w:r>
      <w:r w:rsidR="00860449" w:rsidRPr="00932149">
        <w:rPr>
          <w:rFonts w:ascii="inherit" w:eastAsia="Times New Roman" w:hAnsi="inherit" w:cs="Times New Roman"/>
          <w:sz w:val="24"/>
          <w:szCs w:val="24"/>
          <w:lang w:val="ru-RU"/>
        </w:rPr>
        <w:t xml:space="preserve">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Кардаль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хлсан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Банк предоставляет клиенту определенную сумму денег. которую тот обязуется вернуть по истечении заданного срока. Возвращая основной долг, клиент может выплатить банку (исключительно по своему желанию) определенную сумму в виде добровольных премиальных —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хиба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, чтобы покрыть административные затраты. Сам банк никогда не требует премиальных и в договоре их выплата не предполагается. Однако в качестве гарантии банк может потребовать залог Беспроцентная ссуда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Такафул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Участники фонда осуществляют денежные взносы, часть которых направляется в специальный фонд, предназначенный для того, чтобы возместить убытки при наступлении страхового случая. Пропорции, в которых Страхование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br/>
        <w:t>Название</w:t>
      </w:r>
      <w:r w:rsidR="00860449" w:rsidRPr="00932149">
        <w:rPr>
          <w:rFonts w:ascii="inherit" w:eastAsia="Times New Roman" w:hAnsi="inherit" w:cs="Times New Roman"/>
          <w:sz w:val="24"/>
          <w:szCs w:val="24"/>
          <w:lang w:val="ru-RU"/>
        </w:rPr>
        <w:t xml:space="preserve"> 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инструмента Характеристика инструмента Аналогичный инструмент традиционной финансовой системы</w:t>
      </w:r>
      <w:r w:rsidR="00860449" w:rsidRPr="00932149">
        <w:rPr>
          <w:rFonts w:ascii="inherit" w:eastAsia="Times New Roman" w:hAnsi="inherit" w:cs="Times New Roman"/>
          <w:sz w:val="24"/>
          <w:szCs w:val="24"/>
          <w:lang w:val="ru-RU"/>
        </w:rPr>
        <w:t xml:space="preserve"> 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разделяются денежные средства, определяются страховой компанией. Другая часть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напранляется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на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инвестипни</w:t>
      </w:r>
      <w:proofErr w:type="spellEnd"/>
      <w:proofErr w:type="gram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.</w:t>
      </w:r>
      <w:proofErr w:type="gram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организованные по принципу разделения прибылей и убытков, с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нелью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получения прибыли. Все участники разделяют между собой прибыль и потери от инвестиционной деятельности фонда</w:t>
      </w:r>
      <w:r w:rsidR="00860449" w:rsidRPr="00932149">
        <w:rPr>
          <w:rFonts w:ascii="inherit" w:eastAsia="Times New Roman" w:hAnsi="inherit" w:cs="Times New Roman"/>
          <w:sz w:val="24"/>
          <w:szCs w:val="24"/>
          <w:lang w:val="ru-RU"/>
        </w:rPr>
        <w:t xml:space="preserve"> 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Суку к Специальный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нид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облигаций, доходность которых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снязана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с отдачей от реальных активов. Однако, поскольку'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сукук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— это чисто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финансоные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пенные бумаги, шариат рассматривает их как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долгоные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обязательств.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Следонательно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. многие инвесторы в исламских странах не могут торговать облигациями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сукук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на вторичном рынке, поскольку при этом может возникнуть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риба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.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Изза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этого ограничения инвесторы стремятся держать такие облигации до самого срока погашения Облигационный заем (для контрактов сроком до 3 лет), лизинговый контракт (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свьппе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3 лет)</w:t>
      </w:r>
      <w:r w:rsidR="00860449" w:rsidRPr="00932149">
        <w:rPr>
          <w:rFonts w:ascii="inherit" w:eastAsia="Times New Roman" w:hAnsi="inherit" w:cs="Times New Roman"/>
          <w:sz w:val="24"/>
          <w:szCs w:val="24"/>
          <w:lang w:val="ru-RU"/>
        </w:rPr>
        <w:t xml:space="preserve">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Мукарада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(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сукук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аль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мукарада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) Держатели данных облигаций, подобно владельцам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неголосующих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акций, получают право на участие и прибыли от реализации проекта, но при этом принимают на себя часть убытков. Банк не может гарантировать выплату основной суммы долга или прибыли Выпуск облигаций для финансирования конкретных проектов</w:t>
      </w:r>
      <w:r w:rsidRPr="00932149">
        <w:rPr>
          <w:rFonts w:ascii="inherit" w:eastAsia="Times New Roman" w:hAnsi="inherit" w:cs="Times New Roman"/>
          <w:sz w:val="24"/>
          <w:szCs w:val="24"/>
          <w:lang w:val="ru-RU"/>
        </w:rPr>
        <w:t xml:space="preserve"> </w:t>
      </w:r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с необходимостью внесения изменений в законодательство, а также затрудняет проведение </w:t>
      </w:r>
      <w:proofErr w:type="spellStart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>денежнокредитной</w:t>
      </w:r>
      <w:proofErr w:type="spellEnd"/>
      <w:r w:rsidRPr="008C1693">
        <w:rPr>
          <w:rFonts w:ascii="inherit" w:eastAsia="Times New Roman" w:hAnsi="inherit" w:cs="Times New Roman"/>
          <w:sz w:val="24"/>
          <w:szCs w:val="24"/>
          <w:lang w:val="ru-RU"/>
        </w:rPr>
        <w:t xml:space="preserve"> политики и поддержание стабильности финансовой системы. В такой ситуации необходимо знать особенности их функционирования и те риски, которые они привносят в национальную финансовую систему.</w:t>
      </w:r>
    </w:p>
    <w:sectPr w:rsidR="008C1693" w:rsidRPr="008C16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088D"/>
    <w:multiLevelType w:val="multilevel"/>
    <w:tmpl w:val="556A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60EAB"/>
    <w:multiLevelType w:val="multilevel"/>
    <w:tmpl w:val="F4FC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7C7BA6"/>
    <w:multiLevelType w:val="multilevel"/>
    <w:tmpl w:val="A8DEB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98"/>
    <w:rsid w:val="00051998"/>
    <w:rsid w:val="002D6997"/>
    <w:rsid w:val="00860449"/>
    <w:rsid w:val="008C1693"/>
    <w:rsid w:val="00932149"/>
    <w:rsid w:val="009D560B"/>
    <w:rsid w:val="00CD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2F0C0"/>
  <w15:chartTrackingRefBased/>
  <w15:docId w15:val="{C1364250-672B-4212-877E-AFE23354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1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169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8C169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16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C169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16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C169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31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5709">
                  <w:marLeft w:val="0"/>
                  <w:marRight w:val="0"/>
                  <w:marTop w:val="75"/>
                  <w:marBottom w:val="0"/>
                  <w:divBdr>
                    <w:top w:val="single" w:sz="6" w:space="4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64469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80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77884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67452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97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76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25559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22116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415456">
              <w:marLeft w:val="0"/>
              <w:marRight w:val="0"/>
              <w:marTop w:val="45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3598">
              <w:marLeft w:val="0"/>
              <w:marRight w:val="0"/>
              <w:marTop w:val="45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73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FFFFFF"/>
                        <w:left w:val="single" w:sz="6" w:space="12" w:color="FFFFFF"/>
                        <w:bottom w:val="single" w:sz="6" w:space="12" w:color="FFFFFF"/>
                        <w:right w:val="single" w:sz="6" w:space="12" w:color="FFFFFF"/>
                      </w:divBdr>
                      <w:divsChild>
                        <w:div w:id="18047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99509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auto"/>
          </w:divBdr>
          <w:divsChild>
            <w:div w:id="19629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2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2318</Words>
  <Characters>13216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2018-01-14T07:44:00Z</dcterms:created>
  <dcterms:modified xsi:type="dcterms:W3CDTF">2018-01-14T07:50:00Z</dcterms:modified>
</cp:coreProperties>
</file>